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textAlignment w:val="auto"/>
        <w:rPr>
          <w:rFonts w:hint="eastAsia" w:ascii="方正仿宋_GBK" w:eastAsia="方正仿宋_GBK" w:cs="方正仿宋_GBK"/>
          <w:color w:val="202820"/>
          <w:szCs w:val="32"/>
          <w:lang w:eastAsia="zh-CN"/>
        </w:rPr>
      </w:pPr>
      <w:r>
        <w:rPr>
          <w:rFonts w:hint="eastAsia" w:ascii="方正仿宋_GBK" w:eastAsia="方正仿宋_GBK" w:cs="方正仿宋_GBK"/>
          <w:color w:val="202820"/>
          <w:szCs w:val="32"/>
        </w:rPr>
        <w:t>附件</w:t>
      </w:r>
      <w:r>
        <w:rPr>
          <w:rFonts w:hint="eastAsia" w:eastAsia="方正仿宋_GBK" w:cs="方正仿宋_GBK"/>
          <w:color w:val="202820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600" w:lineRule="exact"/>
        <w:jc w:val="center"/>
        <w:textAlignment w:val="auto"/>
        <w:rPr>
          <w:rFonts w:ascii="方正小标宋_GBK" w:eastAsia="方正小标宋_GBK" w:cs="方正小标宋_GBK"/>
          <w:color w:val="202820"/>
          <w:sz w:val="36"/>
          <w:szCs w:val="24"/>
        </w:rPr>
      </w:pPr>
      <w:r>
        <w:rPr>
          <w:rFonts w:hint="eastAsia" w:ascii="方正小标宋_GBK" w:eastAsia="方正小标宋_GBK" w:cs="方正小标宋_GBK"/>
          <w:color w:val="202820"/>
          <w:sz w:val="36"/>
          <w:szCs w:val="24"/>
        </w:rPr>
        <w:t>南通市房屋建筑工程监理质量管理评价表</w:t>
      </w:r>
    </w:p>
    <w:p>
      <w:pPr>
        <w:widowControl/>
        <w:adjustRightInd w:val="0"/>
        <w:snapToGrid w:val="0"/>
        <w:spacing w:line="240" w:lineRule="atLeast"/>
        <w:jc w:val="left"/>
        <w:textAlignment w:val="auto"/>
        <w:rPr>
          <w:rFonts w:ascii="宋体" w:eastAsia="宋体" w:cs="宋体"/>
          <w:color w:val="202820"/>
          <w:sz w:val="21"/>
          <w:szCs w:val="21"/>
        </w:rPr>
      </w:pPr>
      <w:bookmarkStart w:id="0" w:name="_GoBack"/>
      <w:bookmarkEnd w:id="0"/>
    </w:p>
    <w:p>
      <w:pPr>
        <w:widowControl/>
        <w:adjustRightInd w:val="0"/>
        <w:snapToGrid w:val="0"/>
        <w:spacing w:line="240" w:lineRule="atLeast"/>
        <w:jc w:val="left"/>
        <w:textAlignment w:val="auto"/>
        <w:rPr>
          <w:rFonts w:ascii="宋体" w:eastAsia="宋体" w:cs="宋体"/>
          <w:color w:val="202820"/>
          <w:sz w:val="21"/>
          <w:szCs w:val="21"/>
        </w:rPr>
      </w:pPr>
      <w:r>
        <w:rPr>
          <w:rFonts w:hint="eastAsia" w:ascii="宋体" w:eastAsia="宋体" w:cs="宋体"/>
          <w:color w:val="202820"/>
          <w:sz w:val="21"/>
          <w:szCs w:val="21"/>
        </w:rPr>
        <w:t>工程名称：                             监理单位：                              总监理工程师：</w:t>
      </w:r>
    </w:p>
    <w:tbl>
      <w:tblPr>
        <w:tblStyle w:val="16"/>
        <w:tblW w:w="13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21"/>
        <w:gridCol w:w="1717"/>
        <w:gridCol w:w="4425"/>
        <w:gridCol w:w="764"/>
        <w:gridCol w:w="915"/>
        <w:gridCol w:w="870"/>
        <w:gridCol w:w="945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序号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评价项目</w:t>
            </w:r>
          </w:p>
        </w:tc>
        <w:tc>
          <w:tcPr>
            <w:tcW w:w="4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评分内容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sz w:val="21"/>
                <w:szCs w:val="21"/>
              </w:rPr>
              <w:t>扣分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sz w:val="21"/>
                <w:szCs w:val="21"/>
              </w:rPr>
              <w:t>评分</w:t>
            </w:r>
          </w:p>
        </w:tc>
        <w:tc>
          <w:tcPr>
            <w:tcW w:w="2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2838" w:type="dxa"/>
            <w:gridSpan w:val="2"/>
            <w:vMerge w:val="continue"/>
            <w:noWrap/>
            <w:vAlign w:val="center"/>
          </w:tcPr>
          <w:p/>
        </w:tc>
        <w:tc>
          <w:tcPr>
            <w:tcW w:w="4425" w:type="dxa"/>
            <w:vMerge w:val="continue"/>
            <w:noWrap/>
            <w:vAlign w:val="center"/>
          </w:tcPr>
          <w:p/>
        </w:tc>
        <w:tc>
          <w:tcPr>
            <w:tcW w:w="764" w:type="dxa"/>
            <w:vMerge w:val="continue"/>
            <w:noWrap/>
            <w:vAlign w:val="center"/>
          </w:tcPr>
          <w:p/>
        </w:tc>
        <w:tc>
          <w:tcPr>
            <w:tcW w:w="9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sz w:val="21"/>
                <w:szCs w:val="21"/>
              </w:rPr>
              <w:t>应得分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sz w:val="21"/>
                <w:szCs w:val="21"/>
              </w:rPr>
              <w:t>实扣分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sz w:val="21"/>
                <w:szCs w:val="21"/>
              </w:rPr>
              <w:t>实得分</w:t>
            </w:r>
          </w:p>
        </w:tc>
        <w:tc>
          <w:tcPr>
            <w:tcW w:w="27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4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1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监理质量保障体系</w:t>
            </w: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监理合同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Arial"/>
                <w:kern w:val="2"/>
                <w:sz w:val="21"/>
                <w:szCs w:val="21"/>
              </w:rPr>
              <w:t xml:space="preserve">现场无监理合同复印件                                                         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应采用建设部推荐合同文本格式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企业资质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Arial"/>
                <w:kern w:val="2"/>
                <w:sz w:val="21"/>
                <w:szCs w:val="21"/>
              </w:rPr>
              <w:t>现场无监理单位资质证书、营业执照复印件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项目监理机构设立情况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人员配备不符合省相关文件要求及合同要求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总监不在岗扣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分；每少一名专监扣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分；每少一名监理员扣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职责分工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未制定明晰岗位职责，未明确各岗位人员职责分工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违反其中一条扣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自查自纠制度建立及实施情况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未建立对项目监理人员到岗履职情况的检查考核制度，未有效实施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未建立制度扣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分；未有效实施制度的扣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分；考核少于一季度一次的扣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检测设备、工器具和规范标准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未配备现场常用仪器等，标定过期，现场不能提供工作需要的标准和图集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大型仪器如采用多个工地巡回制，现场应具备使用台账。未配备仪器扣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分；标定过期扣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分；未见与实际工作相关的各类标准图集扣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14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1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监理机构人员到岗履职</w:t>
            </w: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人员配备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专业不对口、不配套；证书不齐全或无效；变更手续不全；人员无证上岗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“两书”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无总监的工程质量终身责任承诺书和法定代表人的授权书；变更人员未重新签署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实名制管理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现场监理人员未全部纳入建筑工人实名制管理平台进行考勤管理；人员未按规定到岗履职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人员未全部纳入考勤管理的扣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分；考勤记录每少一名人员扣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14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1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监理规划和监理实施细则</w:t>
            </w: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监理规划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未结合工程实际编制；内容不符合监理规范的要求；效性、针对性、指导性差；编审程序不符要求；无人员进退场计划；未按监理规划实施监理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监理实施细则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未结合工程实际编制，实操性差；编制不及时，审签不全；装配式及绿色建筑未参考采用省格式文本；未按实施细则实施监理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14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1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监理工程质量控制工作</w:t>
            </w: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对施工单位（含分包单位）现场机构审查情况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未对施工单位（含分包单位）现场的质量管理组织机构、管理制度及专职管理人员和特种作业人员的资格进行审查，存在配置不符要求或人证不符情况；</w:t>
            </w:r>
            <w:r>
              <w:rPr>
                <w:rFonts w:hint="eastAsia" w:ascii="Calibri" w:hAnsi="Calibri" w:eastAsia="宋体" w:cs="Arial"/>
                <w:kern w:val="2"/>
                <w:sz w:val="21"/>
                <w:szCs w:val="21"/>
              </w:rPr>
              <w:t>分包不符合《建设工程质量管理条例》或施工合同约定，监理未正确处置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对施工组织设计、施工方案审查情况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未审核施工单位自审手续，监理无针对性审核意见；施工单位未请及时报审或监理单位未在规定时限内审核，审核签署不全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对建筑材料、建筑构配件和设备审查情况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未查验质保书备案证明资料；未按规定见证取样；台帐和各类报审资料不全，审核签署不全；</w:t>
            </w:r>
            <w:r>
              <w:rPr>
                <w:rFonts w:hint="eastAsia" w:ascii="Calibri" w:hAnsi="Calibri" w:eastAsia="宋体" w:cs="Arial"/>
                <w:kern w:val="2"/>
                <w:sz w:val="21"/>
                <w:szCs w:val="21"/>
              </w:rPr>
              <w:t>材料等报验（品种、批次、数量等）不符合要求；或未经验收合格已使用，监理未正确处置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施工控制测量检查复核情况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未查验测量设备检定证书；未查验测量成果及保护措施；检查、复核不及时；无复核记录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监理旁站情况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未按规定进行旁站；旁站记录不及时；内容不真实、不完整、不具体；整改情况不闭合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监理巡视情况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未对施工单位按图、按标准、按施工组织设计和施工方案施工；未对使用的材料、构配件和设备；未对总分包施工管理人员是否到位；未对特种作业人员是否持证上岗等情况进行动态核查；巡查记录不及时；不能反映现场实际情况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平行检验情况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未按规定组织开展平行检验，平行检验记录不及时、欠真实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未按规定开展平行检验扣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分；不及时扣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分；欠真实扣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隐蔽工程、检验批、分项工程和分部工程验收情况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未按经审合格的施工图进行验收；验收内容不齐全，审核签署不全，隐蔽工程无留存现场影像资料；将不合格工程按合格验收，未验收或验收不合格，无验收记录或记录未签字，施工单位已进入下道工序的；或者质量控制资料不完整，监理未正确处置；无检验批划分方案的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工程试验及检测方案审核情况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未按规定及时审核工程试验及检测方案，签署不全；施工单位未从现场相应的施工部位制取检测试样予以见证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质量问题通知单签发及整改结果复查情况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对施工单位违法违规行为未及时提出书面制止和纠正要求，重大问题监理未要求暂停施工；施工单位整改回复后，未进行复查并签署意见；施工单位不按要求整改未及时向建设单位和主管部门报告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违反第一条扣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分；违反第二、第三条各扣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有无故意降低工程质量行为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存在与建设单位和施工单位串通、弄虚作假、降低工程质量的行为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违反即扣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14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1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监理资料管理</w:t>
            </w: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监理文件资料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未及时、准确、完整地收集、整理、编制和传递；签字签章是否齐全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监理日志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未及时真实记录现场施工进展和监理工作情况；内容不真实，记录不全面，签署不齐全；发现的问题无处理和闭合记录；无巡查、隐患整改、复查情况记录；签署不全；总监或总监代表未及时审阅和签字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监理月报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编写内容不全面、不及时、欠真实、签署不全，未按时提交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违反即扣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jc w:val="lef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会议纪要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未及时记录整理，与会代表签章不全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监理报告制度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内容不全；未按期向主管部门报告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每违反一条扣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14" w:type="dxa"/>
            <w:vMerge w:val="continue"/>
            <w:noWrap/>
            <w:vAlign w:val="center"/>
          </w:tcPr>
          <w:p/>
        </w:tc>
        <w:tc>
          <w:tcPr>
            <w:tcW w:w="1121" w:type="dxa"/>
            <w:vMerge w:val="continue"/>
            <w:noWrap/>
            <w:vAlign w:val="center"/>
          </w:tcPr>
          <w:p/>
        </w:tc>
        <w:tc>
          <w:tcPr>
            <w:tcW w:w="1717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监理评估报告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未按规定及时编制工程质量评估报告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15" w:type="dxa"/>
            <w:vMerge w:val="continue"/>
            <w:noWrap/>
            <w:vAlign w:val="center"/>
          </w:tcPr>
          <w:p/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1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38" w:type="dxa"/>
            <w:gridSpan w:val="2"/>
            <w:noWrap/>
            <w:vAlign w:val="center"/>
          </w:tcPr>
          <w:p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减分项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监理不力，造成群访或发生质量事故的，被主管部门检查通报批评的，按项次计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每项次扣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1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38" w:type="dxa"/>
            <w:gridSpan w:val="2"/>
            <w:noWrap/>
            <w:vAlign w:val="center"/>
          </w:tcPr>
          <w:p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加分项</w:t>
            </w:r>
          </w:p>
        </w:tc>
        <w:tc>
          <w:tcPr>
            <w:tcW w:w="4425" w:type="dxa"/>
            <w:noWrap/>
            <w:vAlign w:val="center"/>
          </w:tcPr>
          <w:p>
            <w:pPr>
              <w:widowControl/>
              <w:adjustRightInd/>
              <w:spacing w:line="240" w:lineRule="atLeast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被各级主管部门检查通报表扬的，项目被市级以上观摩的，企业内部观摩富有成效的，按项次计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被各级主管部门检查通报表扬的，每项次加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分；</w:t>
            </w: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项目被市级以上观摩的，企业内部观摩富有成效的，每项次加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77" w:type="dxa"/>
            <w:gridSpan w:val="4"/>
            <w:noWrap/>
            <w:vAlign w:val="center"/>
          </w:tcPr>
          <w:p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76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adjustRightInd/>
        <w:spacing w:before="100" w:beforeAutospacing="1" w:after="100" w:afterAutospacing="1" w:line="240" w:lineRule="auto"/>
        <w:textAlignment w:val="auto"/>
        <w:rPr>
          <w:rFonts w:hint="eastAsia"/>
        </w:rPr>
      </w:pPr>
      <w:r>
        <w:rPr>
          <w:rFonts w:hint="eastAsia" w:ascii="宋体" w:eastAsia="宋体" w:cs="宋体"/>
          <w:b/>
          <w:bCs/>
          <w:color w:val="202820"/>
          <w:sz w:val="21"/>
          <w:szCs w:val="21"/>
        </w:rPr>
        <w:t>监理单位代表：                                                          检查人：             检查日期： </w:t>
      </w:r>
      <w:r>
        <w:rPr>
          <w:rFonts w:hint="eastAsia" w:ascii="宋体" w:eastAsia="宋体" w:cs="宋体"/>
          <w:b/>
          <w:bCs/>
          <w:color w:val="202820"/>
          <w:sz w:val="21"/>
          <w:szCs w:val="21"/>
          <w:lang w:val="en-US" w:eastAsia="zh-CN"/>
        </w:rPr>
        <w:t xml:space="preserve"> </w:t>
      </w:r>
      <w:r>
        <w:rPr>
          <w:rFonts w:hint="eastAsia" w:ascii="宋体" w:eastAsia="宋体" w:cs="宋体"/>
          <w:b/>
          <w:bCs/>
          <w:color w:val="202820"/>
          <w:sz w:val="21"/>
          <w:szCs w:val="21"/>
        </w:rPr>
        <w:t> </w:t>
      </w:r>
      <w:r>
        <w:rPr>
          <w:rFonts w:hint="eastAsia" w:ascii="宋体" w:eastAsia="宋体" w:cs="宋体"/>
          <w:color w:val="202820"/>
          <w:sz w:val="21"/>
          <w:szCs w:val="21"/>
        </w:rPr>
        <w:t xml:space="preserve"> </w:t>
      </w:r>
      <w:r>
        <w:rPr>
          <w:rFonts w:hint="eastAsia" w:ascii="宋体" w:eastAsia="宋体" w:cs="宋体"/>
          <w:b/>
          <w:bCs/>
          <w:color w:val="202820"/>
          <w:sz w:val="21"/>
          <w:szCs w:val="21"/>
        </w:rPr>
        <w:t>年  </w:t>
      </w:r>
      <w:r>
        <w:rPr>
          <w:rFonts w:hint="eastAsia" w:ascii="宋体" w:eastAsia="宋体" w:cs="宋体"/>
          <w:b/>
          <w:bCs/>
          <w:color w:val="202820"/>
          <w:sz w:val="21"/>
          <w:szCs w:val="21"/>
          <w:lang w:val="en-US" w:eastAsia="zh-CN"/>
        </w:rPr>
        <w:t xml:space="preserve"> </w:t>
      </w:r>
      <w:r>
        <w:rPr>
          <w:rFonts w:hint="eastAsia" w:ascii="宋体" w:eastAsia="宋体" w:cs="宋体"/>
          <w:color w:val="202820"/>
          <w:sz w:val="21"/>
          <w:szCs w:val="21"/>
        </w:rPr>
        <w:t xml:space="preserve"> </w:t>
      </w:r>
      <w:r>
        <w:rPr>
          <w:rFonts w:hint="eastAsia" w:ascii="宋体" w:eastAsia="宋体" w:cs="宋体"/>
          <w:b/>
          <w:bCs/>
          <w:color w:val="202820"/>
          <w:sz w:val="21"/>
          <w:szCs w:val="21"/>
        </w:rPr>
        <w:t>月 </w:t>
      </w:r>
      <w:r>
        <w:rPr>
          <w:rFonts w:hint="eastAsia" w:ascii="宋体" w:eastAsia="宋体" w:cs="宋体"/>
          <w:b/>
          <w:bCs/>
          <w:color w:val="202820"/>
          <w:sz w:val="21"/>
          <w:szCs w:val="21"/>
          <w:lang w:val="en-US" w:eastAsia="zh-CN"/>
        </w:rPr>
        <w:t xml:space="preserve"> </w:t>
      </w:r>
      <w:r>
        <w:rPr>
          <w:rFonts w:hint="eastAsia" w:ascii="宋体" w:eastAsia="宋体" w:cs="宋体"/>
          <w:color w:val="202820"/>
          <w:sz w:val="21"/>
          <w:szCs w:val="21"/>
        </w:rPr>
        <w:t xml:space="preserve"> </w:t>
      </w:r>
      <w:r>
        <w:rPr>
          <w:rFonts w:hint="eastAsia" w:ascii="宋体" w:eastAsia="宋体" w:cs="宋体"/>
          <w:b/>
          <w:bCs/>
          <w:color w:val="202820"/>
          <w:sz w:val="21"/>
          <w:szCs w:val="21"/>
        </w:rPr>
        <w:t>日</w:t>
      </w:r>
    </w:p>
    <w:sectPr>
      <w:headerReference r:id="rId5" w:type="default"/>
      <w:footerReference r:id="rId6" w:type="default"/>
      <w:footerReference r:id="rId7" w:type="even"/>
      <w:pgSz w:w="16840" w:h="11907" w:orient="landscape"/>
      <w:pgMar w:top="1588" w:right="2098" w:bottom="1418" w:left="1984" w:header="720" w:footer="1587" w:gutter="0"/>
      <w:cols w:space="720" w:num="1"/>
      <w:docGrid w:type="linesAndChars" w:linePitch="579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288" w:rightChars="90"/>
      <w:jc w:val="right"/>
      <w:rPr>
        <w:rFonts w:hint="eastAsia"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104775</wp:posOffset>
              </wp:positionV>
              <wp:extent cx="495300" cy="26289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26314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8.25pt;height:20.7pt;width:3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YuY23TAAAABQEAAA8AAAAAAAAAAQAgAAAAIgAAAGRycy9kb3du&#10;cmV2LnhtbFBLAQIUABQAAAAIAIdO4kAIIW44BAIAAPUDAAAOAAAAAAAAAAEAIAAAACIBAABkcnMv&#10;ZTJvRG9jLnhtbFBLBQYAAAAABgAGAFkBAACY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08" w:firstLineChars="110"/>
      <w:rPr>
        <w:rFonts w:hint="eastAsia"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150" cy="152400"/>
              <wp:effectExtent l="0" t="0" r="0" b="0"/>
              <wp:wrapNone/>
              <wp:docPr id="4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2pt;width:4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ZtYDzQAAAAAgEAAA8AAAAAAAAAAQAgAAAAIgAAAGRycy9kb3ducmV2&#10;LnhtbFBLAQIUABQAAAAIAIdO4kBRelo3BAIAAPQDAAAOAAAAAAAAAAEAIAAAAB8BAABkcnMvZTJv&#10;RG9jLnhtbFBLBQYAAAAABgAGAFkBAACV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8DC6F"/>
    <w:multiLevelType w:val="multilevel"/>
    <w:tmpl w:val="5638DC6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-11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tabs>
          <w:tab w:val="left" w:pos="0"/>
        </w:tabs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mirrorMargins w:val="1"/>
  <w:bordersDoNotSurroundHeader w:val="1"/>
  <w:bordersDoNotSurroundFooter w:val="1"/>
  <w:documentProtection w:enforcement="0"/>
  <w:defaultTabStop w:val="425"/>
  <w:drawingGridHorizontalSpacing w:val="319"/>
  <w:drawingGridVerticalSpacing w:val="579"/>
  <w:displayHorizontalDrawingGridEvery w:val="0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useFELayout/>
    <w:compatSetting w:name="compatibilityMode" w:uri="http://schemas.microsoft.com/office/word" w:val="14"/>
  </w:compat>
  <w:docVars>
    <w:docVar w:name="commondata" w:val="eyJoZGlkIjoiNjMyNzlkMmY1NGU1MDMyZWE3YjQ1YzE3MWZkNDIzZTgifQ=="/>
  </w:docVars>
  <w:rsids>
    <w:rsidRoot w:val="00000000"/>
    <w:rsid w:val="0BAB23A2"/>
    <w:rsid w:val="3ED454B4"/>
    <w:rsid w:val="3FC74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unhideWhenUsed="0" w:uiPriority="0" w:semiHidden="0" w:name="heading 7"/>
    <w:lsdException w:qFormat="1"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adjustRightInd/>
      <w:spacing w:before="340" w:after="330" w:line="576" w:lineRule="auto"/>
      <w:textAlignment w:val="auto"/>
      <w:outlineLvl w:val="0"/>
    </w:pPr>
    <w:rPr>
      <w:rFonts w:ascii="Calibri" w:hAnsi="Calibri" w:eastAsia="宋体"/>
      <w:b/>
      <w:kern w:val="44"/>
      <w:sz w:val="4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/>
      <w:spacing w:before="260" w:after="260" w:line="413" w:lineRule="auto"/>
      <w:textAlignment w:val="auto"/>
      <w:outlineLvl w:val="1"/>
    </w:pPr>
    <w:rPr>
      <w:rFonts w:ascii="Arial" w:hAnsi="Arial" w:eastAsia="黑体"/>
      <w:b/>
      <w:kern w:val="2"/>
      <w:szCs w:val="24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numPr>
        <w:ilvl w:val="2"/>
        <w:numId w:val="1"/>
      </w:numPr>
      <w:adjustRightInd/>
      <w:spacing w:before="260" w:after="260" w:line="240" w:lineRule="auto"/>
      <w:textAlignment w:val="auto"/>
      <w:outlineLvl w:val="2"/>
    </w:pPr>
    <w:rPr>
      <w:rFonts w:ascii="Calibri" w:hAnsi="Calibri" w:eastAsia="黑体"/>
      <w:b/>
      <w:kern w:val="2"/>
      <w:szCs w:val="24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numPr>
        <w:ilvl w:val="3"/>
        <w:numId w:val="1"/>
      </w:numPr>
      <w:adjustRightInd/>
      <w:spacing w:before="280" w:after="290" w:line="372" w:lineRule="auto"/>
      <w:textAlignment w:val="auto"/>
      <w:outlineLvl w:val="3"/>
    </w:pPr>
    <w:rPr>
      <w:rFonts w:ascii="Arial" w:hAnsi="Arial" w:eastAsia="黑体"/>
      <w:b/>
      <w:kern w:val="2"/>
      <w:sz w:val="28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widowControl w:val="0"/>
      <w:numPr>
        <w:ilvl w:val="4"/>
        <w:numId w:val="1"/>
      </w:numPr>
      <w:adjustRightInd/>
      <w:spacing w:before="280" w:after="290" w:line="372" w:lineRule="auto"/>
      <w:textAlignment w:val="auto"/>
      <w:outlineLvl w:val="4"/>
    </w:pPr>
    <w:rPr>
      <w:rFonts w:ascii="Calibri" w:hAnsi="Calibri" w:eastAsia="宋体"/>
      <w:b/>
      <w:kern w:val="2"/>
      <w:sz w:val="28"/>
      <w:szCs w:val="24"/>
    </w:rPr>
  </w:style>
  <w:style w:type="paragraph" w:styleId="7">
    <w:name w:val="heading 6"/>
    <w:basedOn w:val="1"/>
    <w:next w:val="1"/>
    <w:qFormat/>
    <w:uiPriority w:val="0"/>
    <w:pPr>
      <w:keepNext/>
      <w:keepLines/>
      <w:widowControl w:val="0"/>
      <w:numPr>
        <w:ilvl w:val="5"/>
        <w:numId w:val="1"/>
      </w:numPr>
      <w:adjustRightInd/>
      <w:spacing w:before="240" w:after="64" w:line="317" w:lineRule="auto"/>
      <w:textAlignment w:val="auto"/>
      <w:outlineLvl w:val="5"/>
    </w:pPr>
    <w:rPr>
      <w:rFonts w:ascii="Arial" w:hAnsi="Arial" w:eastAsia="黑体"/>
      <w:b/>
      <w:kern w:val="2"/>
      <w:sz w:val="24"/>
      <w:szCs w:val="24"/>
    </w:rPr>
  </w:style>
  <w:style w:type="paragraph" w:styleId="8">
    <w:name w:val="heading 7"/>
    <w:basedOn w:val="1"/>
    <w:next w:val="1"/>
    <w:uiPriority w:val="0"/>
    <w:pPr>
      <w:keepNext/>
      <w:keepLines/>
      <w:widowControl w:val="0"/>
      <w:numPr>
        <w:ilvl w:val="6"/>
        <w:numId w:val="1"/>
      </w:numPr>
      <w:adjustRightInd/>
      <w:spacing w:before="240" w:after="64" w:line="317" w:lineRule="auto"/>
      <w:textAlignment w:val="auto"/>
      <w:outlineLvl w:val="6"/>
    </w:pPr>
    <w:rPr>
      <w:rFonts w:ascii="Calibri" w:hAnsi="Calibri" w:eastAsia="宋体"/>
      <w:b/>
      <w:kern w:val="2"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widowControl w:val="0"/>
      <w:numPr>
        <w:ilvl w:val="7"/>
        <w:numId w:val="1"/>
      </w:numPr>
      <w:adjustRightInd/>
      <w:spacing w:before="240" w:after="64" w:line="317" w:lineRule="auto"/>
      <w:textAlignment w:val="auto"/>
      <w:outlineLvl w:val="7"/>
    </w:pPr>
    <w:rPr>
      <w:rFonts w:ascii="Arial" w:hAnsi="Arial" w:eastAsia="黑体"/>
      <w:kern w:val="2"/>
      <w:sz w:val="24"/>
      <w:szCs w:val="24"/>
    </w:rPr>
  </w:style>
  <w:style w:type="paragraph" w:styleId="10">
    <w:name w:val="heading 9"/>
    <w:basedOn w:val="1"/>
    <w:next w:val="1"/>
    <w:uiPriority w:val="0"/>
    <w:pPr>
      <w:keepNext/>
      <w:keepLines/>
      <w:widowControl w:val="0"/>
      <w:numPr>
        <w:ilvl w:val="8"/>
        <w:numId w:val="1"/>
      </w:numPr>
      <w:adjustRightInd/>
      <w:spacing w:before="240" w:after="64" w:line="317" w:lineRule="auto"/>
      <w:textAlignment w:val="auto"/>
      <w:outlineLvl w:val="8"/>
    </w:pPr>
    <w:rPr>
      <w:rFonts w:ascii="Arial" w:hAnsi="Arial" w:eastAsia="黑体"/>
      <w:kern w:val="2"/>
      <w:sz w:val="21"/>
      <w:szCs w:val="24"/>
    </w:rPr>
  </w:style>
  <w:style w:type="character" w:default="1" w:styleId="17">
    <w:name w:val="Default Paragraph Font"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alloon Text"/>
    <w:basedOn w:val="1"/>
    <w:uiPriority w:val="0"/>
    <w:rPr>
      <w:sz w:val="18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Normal (Web)"/>
    <w:basedOn w:val="1"/>
    <w:uiPriority w:val="0"/>
    <w:pPr>
      <w:adjustRightInd/>
      <w:spacing w:beforeAutospacing="1" w:afterAutospacing="1" w:line="240" w:lineRule="auto"/>
      <w:jc w:val="left"/>
      <w:textAlignment w:val="auto"/>
    </w:pPr>
    <w:rPr>
      <w:rFonts w:ascii="Calibri" w:hAnsi="Calibri" w:eastAsia="宋体"/>
      <w:sz w:val="24"/>
      <w:szCs w:val="24"/>
    </w:r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uiPriority w:val="0"/>
    <w:rPr>
      <w:sz w:val="21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adjustRightInd/>
      <w:snapToGrid w:val="0"/>
      <w:spacing w:line="760" w:lineRule="atLeast"/>
      <w:jc w:val="center"/>
      <w:textAlignment w:val="auto"/>
    </w:pPr>
    <w:rPr>
      <w:rFonts w:ascii="方正小标宋_GBK" w:eastAsia="方正小标宋_GBK"/>
      <w:kern w:val="2"/>
      <w:sz w:val="44"/>
    </w:rPr>
  </w:style>
  <w:style w:type="paragraph" w:customStyle="1" w:styleId="21">
    <w:name w:val=" Char"/>
    <w:basedOn w:val="1"/>
    <w:uiPriority w:val="0"/>
    <w:pPr>
      <w:adjustRightInd/>
      <w:spacing w:line="240" w:lineRule="auto"/>
      <w:textAlignment w:val="auto"/>
    </w:pPr>
    <w:rPr>
      <w:rFonts w:ascii="Tahoma" w:hAnsi="Tahoma" w:eastAsia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BGZ</Company>
  <Pages>4</Pages>
  <Words>2204</Words>
  <Characters>2219</Characters>
  <Lines>313</Lines>
  <Paragraphs>149</Paragraphs>
  <TotalTime>16</TotalTime>
  <ScaleCrop>false</ScaleCrop>
  <LinksUpToDate>false</LinksUpToDate>
  <CharactersWithSpaces>2423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2001-04-03T04:41:00Z</dcterms:created>
  <dc:creator>李平</dc:creator>
  <cp:lastModifiedBy>USER</cp:lastModifiedBy>
  <cp:lastPrinted>2001-04-11T07:00:00Z</cp:lastPrinted>
  <dcterms:modified xsi:type="dcterms:W3CDTF">2023-11-30T09:39:05Z</dcterms:modified>
  <dc:title>主题词：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8E899AED1ED240178C705F63CAC0791D</vt:lpwstr>
  </property>
  <property fmtid="{D5CDD505-2E9C-101B-9397-08002B2CF9AE}" pid="3" name="KSOProductBuildVer">
    <vt:lpwstr>2052-11.8.2.11019</vt:lpwstr>
  </property>
</Properties>
</file>