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rPr>
          <w:rFonts w:ascii="方正黑体_GBK" w:hAnsi="Times New Roman" w:eastAsia="方正黑体_GBK" w:cs="Times New Roman"/>
          <w:kern w:val="2"/>
          <w:sz w:val="32"/>
          <w:szCs w:val="32"/>
        </w:rPr>
      </w:pPr>
      <w:r>
        <w:rPr>
          <w:rFonts w:hint="eastAsia" w:ascii="方正黑体_GBK" w:eastAsia="方正黑体_GBK" w:cs="Times New Roman" w:hAnsiTheme="minorHAnsi"/>
          <w:kern w:val="2"/>
          <w:sz w:val="32"/>
          <w:szCs w:val="32"/>
        </w:rPr>
        <w:t>附件</w:t>
      </w:r>
      <w:r>
        <w:rPr>
          <w:rFonts w:hint="eastAsia" w:ascii="方正黑体_GBK" w:hAnsi="Times New Roman" w:eastAsia="方正黑体_GBK" w:cs="Times New Roman"/>
          <w:kern w:val="2"/>
          <w:sz w:val="32"/>
          <w:szCs w:val="32"/>
        </w:rPr>
        <w:t>1</w:t>
      </w:r>
    </w:p>
    <w:p>
      <w:pPr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智慧工地项目汇总表</w:t>
      </w:r>
    </w:p>
    <w:tbl>
      <w:tblPr>
        <w:tblStyle w:val="5"/>
        <w:tblW w:w="889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19"/>
        <w:gridCol w:w="2976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申报单位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软件公司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M19239地块新建标准厂房（都市工业综合体）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通州建总集团有限公司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广联达科技股份有限公司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南通理工学院新建图书档案馆及防空地下室工程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南通华荣建设集团有限公司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烽火祥云网络科技有限公司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C13037地块一期（地块内东侧）建设项目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南通八建集团有限公司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联通公司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中央商务区CR0504-A01－1、A02A、B01项目-南通中央商务区A01-1、A02A楼及地下室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江苏中南建筑产业集团有限责任公司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南通品茗电子科技有限公司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C12016地块项目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南通清华建设工程有限公司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广联达科技股份有限公司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R19012地块12#、15-16#、20#及地下室（含人防）建设工程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南通泛华建设有限公司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联通公司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南通市城市轨道交通控制中心及其附属工程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南通六建集团有限公司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南通铁军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南通市城市轨道交通2号线土建02标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中铁十六局集团有限公司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广联达科技股份有限公司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南通市城市轨道交通2号线土建03标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中铁十四局集团有限公司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广联达科技股份有限公司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南通市城市轨道交通2号线土建09标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中交隧道工程局有限公司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广联达科技股份有限公司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R19028地块项目一期、二期工程施工总承包一标段、二标段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南通市中房建设工程有限公司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南通品茗电子科技有限公司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中创区会展中心酒店项目（万豪酒店）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南通四建集团有限公司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南京傲途软件有限公司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紫琅湖2号地块（朝阳路南崇州大道东）项目-AC19020地块建设项目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南通五建控股集团有限公司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南通品茗电子科技有限公司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妇幼保健大楼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南通四建集团有限公司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南通铁军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金鹰A4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上海宝冶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r>
              <w:rPr>
                <w:rFonts w:hint="eastAsia"/>
              </w:rPr>
              <w:t>广联达科技股份有限公司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R19012地块22#、23#、26-31#楼及地下室（含人防）（B1－T轴~C-8轴～B1－S轴~C-9轴~B2－M轴~B-18轴～B2－J轴）轴线以北）（不含精装修）（不含配套）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南通长城建设集团有限公司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r>
              <w:rPr>
                <w:rFonts w:hint="eastAsia"/>
              </w:rPr>
              <w:t>南通品茗电子科技有限公司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南通市城市轨道交通1号线一期工程轨道工程项目01标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中铁一局集团有限公司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南通市城市轨道交通1号线一期工程轨道02标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中铁三局集团有限公司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湖南旭瑞智能技术有限公司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南通市城市轨道交通2号线一期土建06标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中铁一局集团有限公司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广联达科技股份有限公司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南通市城市轨道交通2号线一期土建07标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上海市机械施工集团有限公司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广联达科技股份有限公司</w:t>
            </w:r>
          </w:p>
        </w:tc>
      </w:tr>
    </w:tbl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400" w:lineRule="exact"/>
        <w:rPr>
          <w:rFonts w:ascii="方正黑体_GBK" w:eastAsia="方正黑体_GBK"/>
          <w:sz w:val="32"/>
          <w:szCs w:val="32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400" w:lineRule="exact"/>
        <w:rPr>
          <w:rFonts w:ascii="方正黑体_GBK" w:eastAsia="方正黑体_GBK"/>
          <w:sz w:val="32"/>
          <w:szCs w:val="32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400" w:lineRule="exact"/>
        <w:rPr>
          <w:rFonts w:ascii="方正黑体_GBK" w:eastAsia="方正黑体_GBK"/>
          <w:sz w:val="32"/>
          <w:szCs w:val="32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400" w:lineRule="exact"/>
        <w:rPr>
          <w:rFonts w:ascii="方正黑体_GBK" w:eastAsia="方正黑体_GBK"/>
          <w:sz w:val="32"/>
          <w:szCs w:val="32"/>
        </w:rPr>
        <w:sectPr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sz w:val="28"/>
          <w:szCs w:val="28"/>
        </w:rPr>
        <w:sectPr>
          <w:type w:val="continuous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ind w:right="-1350" w:rightChars="-643"/>
        <w:rPr>
          <w:rFonts w:ascii="方正黑体_GBK" w:eastAsia="方正黑体_GBK"/>
          <w:sz w:val="32"/>
          <w:szCs w:val="32"/>
        </w:rPr>
        <w:sectPr>
          <w:pgSz w:w="16838" w:h="11906" w:orient="landscape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ind w:right="-1350" w:rightChars="-643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Calibri" w:hAnsi="Calibri" w:eastAsia="方正小标宋_GBK" w:cs="Arial"/>
          <w:sz w:val="44"/>
          <w:szCs w:val="44"/>
        </w:rPr>
      </w:pPr>
      <w:r>
        <w:rPr>
          <w:rFonts w:hint="eastAsia" w:ascii="Calibri" w:hAnsi="Calibri" w:eastAsia="方正小标宋_GBK" w:cs="Arial"/>
          <w:sz w:val="44"/>
          <w:szCs w:val="44"/>
        </w:rPr>
        <w:t>示范片区智慧工地部分评分表</w:t>
      </w:r>
    </w:p>
    <w:tbl>
      <w:tblPr>
        <w:tblStyle w:val="5"/>
        <w:tblW w:w="146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589"/>
        <w:gridCol w:w="722"/>
        <w:gridCol w:w="2384"/>
        <w:gridCol w:w="3176"/>
        <w:gridCol w:w="1678"/>
        <w:gridCol w:w="2165"/>
        <w:gridCol w:w="2022"/>
        <w:gridCol w:w="11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 w:val="20"/>
                <w:szCs w:val="20"/>
              </w:rPr>
              <w:t>实施指南要求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 w:val="20"/>
                <w:szCs w:val="20"/>
              </w:rPr>
              <w:t>分值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 w:val="20"/>
                <w:szCs w:val="20"/>
              </w:rPr>
              <w:t>实施内容评分项</w:t>
            </w: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 w:val="20"/>
                <w:szCs w:val="20"/>
              </w:rPr>
              <w:t>项目集成平台评分项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 w:val="20"/>
                <w:szCs w:val="20"/>
              </w:rPr>
              <w:t>数据对接评分项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 w:val="20"/>
                <w:szCs w:val="20"/>
              </w:rPr>
              <w:t>数据看板评分项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 w:val="20"/>
                <w:szCs w:val="20"/>
              </w:rPr>
              <w:t>覆盖率要求评分项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  <w:jc w:val="center"/>
        </w:trPr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 w:val="20"/>
                <w:szCs w:val="20"/>
              </w:rPr>
              <w:t>现场安全</w:t>
            </w:r>
            <w:r>
              <w:rPr>
                <w:rFonts w:hint="eastAsia" w:ascii="Calibri" w:hAnsi="Calibri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b/>
                <w:bCs/>
                <w:kern w:val="0"/>
                <w:sz w:val="20"/>
                <w:szCs w:val="20"/>
              </w:rPr>
              <w:t>隐患排查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采用手机端开展项目隐患检查，+0.5分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检查内容符合省标（DGJ32/TJ218-2017），+1分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检查单格式符合《江苏省建设工程施工安全标准化管理资料》要求，+1分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现场工人可通过手机端上传隐患照片，+0.5分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安管人员开展移动巡检，+1分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展示监督检查、企业检查、项目检查信息，+1分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对隐患排查内容进行分类分析，+1分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检查内容整改闭合情况分析，+1分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可通过二维码查看检查单内容、隐患随手拍内容、移动巡检内容（含照片等资料），+1分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检查单信息上传至省平台，+1分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移动巡检信息上传至省平台，+1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通过项目编号和检查单编号可浏览单个检查单内容，+1分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通过项目编号，可查看检查单历史数据及分析结果，+1分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通过项目编号及移动巡检路线编号，查看巡检历史数据及分析结果，+1分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全部安管人员使用，+2分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检查单数量每低于所有智慧工地平均值的5%，扣0.5分（最多扣3分）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移动巡检次数每低于所有智慧工地平均值的5%，扣0.5分（最多扣3分）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  <w:jc w:val="center"/>
        </w:trPr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 w:val="20"/>
                <w:szCs w:val="20"/>
              </w:rPr>
              <w:t>人员信息</w:t>
            </w:r>
            <w:r>
              <w:rPr>
                <w:rFonts w:hint="eastAsia" w:ascii="Calibri" w:hAnsi="Calibri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b/>
                <w:bCs/>
                <w:kern w:val="0"/>
                <w:sz w:val="20"/>
                <w:szCs w:val="20"/>
              </w:rPr>
              <w:t>动态管理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对参建单位、班组、劳务人员实现信息管理，+1分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对进出场人员实现自动身份识别，+0.5分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对场内人员实现立体定位，+1分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对劳务人员和劳务单位信息实现动态管理，包括不良行为、良好行为奖惩记录、安全教育信息等，+0.5分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对安管人员在岗时间进行管理，+2分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展示当日进出人员数据和数量曲线，+1分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展示参建单位、班组信息，+0.5分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可通过二维码浏览劳务人员的基本信息、奖惩记录、安全教育信息等，+0.5分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至少对劳务人员年龄、工种、籍贯进行分析，+0.5分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对安全教育进行分类分析，+0.5分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可浏览安全教育信息及影像资料，+0.5分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按日、按月统计安管人员在岗信息，+0.5分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展示当前人员立体定位信息，+1分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人员进出项目实名登记信息上传至省平台，+0.5分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人员不良行为、良好行为及其所属劳务单位信息上传至省平台，+0.5分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人员安全教育培训信息上传至省平台，+0.5分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安管人员每日在岗信息上传至省平台，+0.5分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通过项目编号，可查看人员信息看板，+1分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通过项目编号，身份证号，可查看该人员基本信息，+1分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通过项目编号，可查看当前人员立体定位信息，+1分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人员实名信息覆盖低于50%以上劳务人员，-2分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人员动态信息覆盖所有劳务人员，+1分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人员立体定位覆盖劳务人员低于10%，-2分，覆盖20%以上劳务人员，每增加10%，加0.5分，最多2分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  <w:jc w:val="center"/>
        </w:trPr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 w:val="20"/>
                <w:szCs w:val="20"/>
              </w:rPr>
              <w:t>扬尘管控</w:t>
            </w:r>
            <w:r>
              <w:rPr>
                <w:rFonts w:hint="eastAsia" w:ascii="Calibri" w:hAnsi="Calibri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b/>
                <w:bCs/>
                <w:kern w:val="0"/>
                <w:sz w:val="20"/>
                <w:szCs w:val="20"/>
              </w:rPr>
              <w:t>视频监控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对施工现场的PM2.5、PM10、噪声进行监测，+1分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超过PM10阀值可实现预警和报警，+1分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现场降尘设备至少包括雾炮机、围挡喷淋、塔吊喷淋，+1分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视频监控点至少包括作业面、大门、冲洗平台 +1分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展示当前扬尘监测数据、最近国控点监测数据和两者偏差，+1分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展示当天的PM2.5、PM10的监测曲线，+0.5分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按日展示最近1周、最近一个月扬尘日监测数据，+0.5分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统计分析扬尘监测预警、报警次数，+0.5分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统计分析扬尘监测设备、视频信号在线率，+0.5分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实时浏览现场监控视频，+1分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上传扬尘设备信息至省平台，+0.5分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上传每日PM10数据至省平台，+0.5分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上传PM10超标信息至省平台：+0.5分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上传视频监控点信息至省平台，+0.5分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通过项目编号，可查看扬尘信息看板，+1分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通过项目编号，视频监控点编号，可浏览单个视频监控，+1分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通过项目编号，可浏览所有接入的视频监控，+1分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50%以上的视频监控具备AI识别功能，+1分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降尘设备支持自动降尘，+1分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 w:val="20"/>
                <w:szCs w:val="20"/>
              </w:rPr>
              <w:t>高处作业临边防护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采用工具化定型化的防护措施，+1分</w:t>
            </w:r>
          </w:p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实现防护栏杆缺失移动报警，+1分</w:t>
            </w:r>
          </w:p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防护栏杆缺失移动后，人员接近报警，+1分</w:t>
            </w: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显示当前临边防护的状态,+1分</w:t>
            </w:r>
          </w:p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浏览临边防护历史监测数据，+1分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通过项目编号，可查看当前临边防护安装位置及状态，+1分</w:t>
            </w:r>
          </w:p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通过项目编号，可查看防护预警及人员接近预警历史数据，+1分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工具定型化覆盖低于50%，-2分</w:t>
            </w:r>
          </w:p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工具定型化覆盖大于80%，+1分</w:t>
            </w:r>
          </w:p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防护栏杆预警装置覆盖低于20%，-2分</w:t>
            </w:r>
          </w:p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防护栏杆预警装置覆盖率高于30%，每多10%，加0.5分（最多加2分）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 w:val="20"/>
                <w:szCs w:val="20"/>
              </w:rPr>
              <w:t>危大工程预警管理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 w:val="20"/>
                <w:szCs w:val="20"/>
              </w:rPr>
              <w:t>塔吊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实现塔吊司机身份识别，+1分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实现塔吊司机资质在线验证，+1分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实现多塔防碰撞预警，+1分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展示塔吊司机的基本信息、资格信息、身份识别信息，+0.5分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展示塔吊基本信息、检测信息、安装信息、使用登记信息，+0.5分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展示塔吊当前的运行状态，+0.5分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展示塔吊历史报警预警数据及分析，+0.5分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上传塔吊司机信息至省平台，+0.5分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上传塔吊基本信息至省平台，+0.5分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通过项目编号及塔吊编号，查看当前运行状态及历史预警数据及分析，+1分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覆盖率低于30%，-2分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覆盖率高于40%，每多10%，加0.5分（最多加3分）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 w:val="20"/>
                <w:szCs w:val="20"/>
              </w:rPr>
              <w:t>施工升降机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实现施工升降机司机身份识别，+1分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实现施工升降机司机资格在线验证，+1分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展示施工升降机司机的基本信息、资格信息、身份识别信息，+0.5分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展示施工升降机基本信息、检测信息、安装信息、使用登记信息，+0.5分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展示施工升降机当前的运行状态，+0.5分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展示施工升降机历史报警预警数据，+0.5分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上传塔吊司机信息至省平台，+0.5分</w:t>
            </w:r>
          </w:p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上传施工升降机基本信息至省平台，+0.5分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通过项目编号及施工升降机编号，查看当前运行状态及历史预警数据及分析，+1分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覆盖率低于30%，-2分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覆盖率高于40%，每多10%，加0.5分（最多加3分）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 w:val="20"/>
                <w:szCs w:val="20"/>
              </w:rPr>
              <w:t>卸料平台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实现卸料平台运行监测及预警，+1分</w:t>
            </w: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展示卸料平台当前运行状态，+0.5分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展示卸料平台历史报警预警数据，+0.5分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上传卸料平台基本信息至省平台，+1分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通过项目编号及卸料平台编号，查看当前运行状态及历史预警数据及分析，+1分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覆盖率低于30%，-3分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覆盖率高于40%，每多10%，加0.5分（最多加3分）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 w:val="20"/>
                <w:szCs w:val="20"/>
              </w:rPr>
              <w:t>深基坑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实现深基坑状态监测及预警，+2分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展示深基坑监测参数当前信息及历史数据，+0.5分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展示深基坑监测参数历史报警预警数据，+0.5分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上传深基坑基本信息至省平台，+1分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通过项目编号，查看当前深基坑状态及历史预警数据及分析，+1分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覆盖至少一个深基坑，+2分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 w:val="20"/>
                <w:szCs w:val="20"/>
              </w:rPr>
              <w:t>高支模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实现高支模状态监测及预警，+2分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展示高支模监测参数当前信息及历史数据，+0.5分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展示高支模监测参数历史报警预警数据，+0.5分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上传高支模基本信息至省平台，+1分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通过项目编号，查看当前高支模状态及历史预警数据及分析，+1分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覆盖至少一个高支模，+2分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Calibri" w:hAnsi="Calibri" w:eastAsia="宋体" w:cs="宋体"/>
                <w:b/>
                <w:bCs/>
                <w:kern w:val="0"/>
                <w:sz w:val="20"/>
                <w:szCs w:val="20"/>
              </w:rPr>
              <w:t>总分值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 w:val="20"/>
                <w:szCs w:val="20"/>
              </w:rPr>
              <w:t>100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 w:val="20"/>
                <w:szCs w:val="20"/>
              </w:rPr>
              <w:t>总评得分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146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Calibri" w:hAnsi="Calibri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 w:val="20"/>
                <w:szCs w:val="20"/>
              </w:rPr>
              <w:t>验收</w:t>
            </w:r>
            <w:r>
              <w:rPr>
                <w:rFonts w:ascii="Calibri" w:hAnsi="Calibri" w:eastAsia="宋体" w:cs="宋体"/>
                <w:b/>
                <w:bCs/>
                <w:kern w:val="0"/>
                <w:sz w:val="20"/>
                <w:szCs w:val="20"/>
              </w:rPr>
              <w:t>意见：</w:t>
            </w:r>
          </w:p>
          <w:p>
            <w:pPr>
              <w:snapToGrid w:val="0"/>
              <w:spacing w:line="400" w:lineRule="exact"/>
              <w:ind w:firstLine="4216" w:firstLineChars="2100"/>
              <w:jc w:val="right"/>
              <w:rPr>
                <w:rFonts w:ascii="Calibri" w:hAnsi="Calibri" w:eastAsia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snapToGrid w:val="0"/>
              <w:spacing w:line="400" w:lineRule="exact"/>
              <w:ind w:firstLine="4216" w:firstLineChars="2100"/>
              <w:jc w:val="left"/>
              <w:rPr>
                <w:rFonts w:ascii="Calibri" w:hAnsi="Calibri" w:eastAsia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ordWrap w:val="0"/>
              <w:snapToGrid w:val="0"/>
              <w:spacing w:line="400" w:lineRule="exact"/>
              <w:jc w:val="right"/>
              <w:rPr>
                <w:rFonts w:ascii="Calibri" w:hAnsi="Calibri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 w:val="20"/>
                <w:szCs w:val="20"/>
              </w:rPr>
              <w:t xml:space="preserve">检查人员（签字）：  </w:t>
            </w:r>
            <w:r>
              <w:rPr>
                <w:rFonts w:ascii="Calibri" w:hAnsi="Calibri" w:eastAsia="宋体" w:cs="宋体"/>
                <w:b/>
                <w:bCs/>
                <w:kern w:val="0"/>
                <w:sz w:val="20"/>
                <w:szCs w:val="20"/>
              </w:rPr>
              <w:t xml:space="preserve">         </w:t>
            </w:r>
            <w:r>
              <w:rPr>
                <w:rFonts w:hint="eastAsia" w:ascii="Calibri" w:hAnsi="Calibri" w:eastAsia="宋体" w:cs="宋体"/>
                <w:b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rFonts w:ascii="Calibri" w:hAnsi="Calibri" w:eastAsia="宋体" w:cs="宋体"/>
                <w:b/>
                <w:bCs/>
                <w:kern w:val="0"/>
                <w:sz w:val="20"/>
                <w:szCs w:val="20"/>
              </w:rPr>
              <w:t xml:space="preserve">                      </w:t>
            </w:r>
            <w:r>
              <w:rPr>
                <w:rFonts w:hint="eastAsia" w:ascii="Calibri" w:hAnsi="Calibri" w:eastAsia="宋体" w:cs="宋体"/>
                <w:b/>
                <w:bCs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Calibri" w:hAnsi="Calibri" w:eastAsia="宋体" w:cs="宋体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Calibri" w:hAnsi="Calibri" w:eastAsia="宋体" w:cs="宋体"/>
                <w:b/>
                <w:bCs/>
                <w:kern w:val="0"/>
                <w:sz w:val="20"/>
                <w:szCs w:val="20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6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rPr>
                <w:rFonts w:ascii="Calibri" w:hAnsi="Calibri" w:eastAsia="方正仿宋_GBK" w:cs="Times New Roman"/>
                <w:snapToGrid w:val="0"/>
                <w:kern w:val="0"/>
                <w:sz w:val="32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备注：省平台是指“省安管系统智慧安监平台”。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sz w:val="28"/>
          <w:szCs w:val="28"/>
        </w:rPr>
        <w:sectPr>
          <w:type w:val="continuous"/>
          <w:pgSz w:w="16838" w:h="11906" w:orient="landscape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8438C"/>
    <w:rsid w:val="5C08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2021-09-07T09:41:00Z</dcterms:created>
  <dc:creator>唂唂</dc:creator>
  <cp:lastModifiedBy>唂唂</cp:lastModifiedBy>
  <dcterms:modified xsi:type="dcterms:W3CDTF">2021-09-07T09:42:22Z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A9F39EC987AF433780975D97815C8D12</vt:lpwstr>
  </property>
</Properties>
</file>